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AF" w:rsidRDefault="004E15E7">
      <w:pPr>
        <w:tabs>
          <w:tab w:val="left" w:pos="882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其他食品（果冻粉料）生产许可证审查方案</w:t>
      </w:r>
    </w:p>
    <w:p w:rsidR="00D27BAF" w:rsidRDefault="00D27BAF">
      <w:pPr>
        <w:tabs>
          <w:tab w:val="left" w:pos="882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napToGrid w:val="0"/>
          <w:spacing w:val="9"/>
          <w:kern w:val="0"/>
          <w:sz w:val="32"/>
          <w:szCs w:val="32"/>
        </w:rPr>
      </w:pPr>
    </w:p>
    <w:p w:rsidR="004B74C1" w:rsidRDefault="004B74C1">
      <w:pPr>
        <w:tabs>
          <w:tab w:val="left" w:pos="8820"/>
        </w:tabs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D27BAF" w:rsidRDefault="004E15E7">
      <w:pPr>
        <w:tabs>
          <w:tab w:val="left" w:pos="8820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第一章  许可范围</w:t>
      </w:r>
    </w:p>
    <w:p w:rsidR="00D27BAF" w:rsidRDefault="004E15E7" w:rsidP="004E15E7">
      <w:pPr>
        <w:widowControl/>
        <w:kinsoku w:val="0"/>
        <w:adjustRightInd w:val="0"/>
        <w:snapToGrid w:val="0"/>
        <w:spacing w:line="560" w:lineRule="exact"/>
        <w:ind w:firstLineChars="200" w:firstLine="678"/>
        <w:textAlignment w:val="baseline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spacing w:val="9"/>
          <w:kern w:val="0"/>
          <w:sz w:val="32"/>
          <w:szCs w:val="32"/>
        </w:rPr>
        <w:t xml:space="preserve">第一条  </w:t>
      </w:r>
      <w:r>
        <w:rPr>
          <w:rFonts w:ascii="仿宋_GB2312" w:eastAsia="仿宋_GB2312" w:hAnsi="仿宋_GB2312" w:cs="仿宋_GB2312" w:hint="eastAsia"/>
          <w:snapToGrid w:val="0"/>
          <w:spacing w:val="9"/>
          <w:kern w:val="0"/>
          <w:sz w:val="32"/>
          <w:szCs w:val="32"/>
        </w:rPr>
        <w:t>为了加强其他食品（果冻粉料</w:t>
      </w:r>
      <w:r>
        <w:rPr>
          <w:rFonts w:ascii="仿宋_GB2312" w:eastAsia="仿宋_GB2312" w:hAnsi="仿宋_GB2312" w:cs="仿宋_GB2312" w:hint="eastAsia"/>
          <w:snapToGrid w:val="0"/>
          <w:spacing w:val="8"/>
          <w:kern w:val="0"/>
          <w:sz w:val="32"/>
          <w:szCs w:val="32"/>
        </w:rPr>
        <w:t>）生产许可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审查工作，依据《中华人民共和国食品安全法》及其实施条例、</w:t>
      </w:r>
      <w:r>
        <w:rPr>
          <w:rFonts w:ascii="仿宋_GB2312" w:eastAsia="仿宋_GB2312" w:hAnsi="仿宋_GB2312" w:cs="仿宋_GB2312" w:hint="eastAsia"/>
          <w:snapToGrid w:val="0"/>
          <w:spacing w:val="3"/>
          <w:kern w:val="0"/>
          <w:sz w:val="32"/>
          <w:szCs w:val="32"/>
        </w:rPr>
        <w:t>《食品生产许可管理办法》《食品生产许可审查通则》（以下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简称通则）及相关食品安全国家标准等规定，制定其</w:t>
      </w:r>
      <w:r>
        <w:rPr>
          <w:rFonts w:ascii="仿宋_GB2312" w:eastAsia="仿宋_GB2312" w:hAnsi="仿宋_GB2312" w:cs="仿宋_GB2312" w:hint="eastAsia"/>
          <w:snapToGrid w:val="0"/>
          <w:spacing w:val="3"/>
          <w:kern w:val="0"/>
          <w:sz w:val="32"/>
          <w:szCs w:val="32"/>
        </w:rPr>
        <w:t>他食品（</w:t>
      </w:r>
      <w:r>
        <w:rPr>
          <w:rFonts w:ascii="仿宋_GB2312" w:eastAsia="仿宋_GB2312" w:hAnsi="仿宋_GB2312" w:cs="仿宋_GB2312" w:hint="eastAsia"/>
          <w:snapToGrid w:val="0"/>
          <w:spacing w:val="9"/>
          <w:kern w:val="0"/>
          <w:sz w:val="32"/>
          <w:szCs w:val="32"/>
        </w:rPr>
        <w:t>果冻粉料</w:t>
      </w:r>
      <w:r>
        <w:rPr>
          <w:rFonts w:ascii="仿宋_GB2312" w:eastAsia="仿宋_GB2312" w:hAnsi="仿宋_GB2312" w:cs="仿宋_GB2312" w:hint="eastAsia"/>
          <w:snapToGrid w:val="0"/>
          <w:spacing w:val="3"/>
          <w:kern w:val="0"/>
          <w:sz w:val="32"/>
          <w:szCs w:val="32"/>
        </w:rPr>
        <w:t>）生产许可审查方案（以下简称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方案）。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spacing w:val="6"/>
          <w:kern w:val="0"/>
          <w:sz w:val="32"/>
          <w:szCs w:val="32"/>
        </w:rPr>
        <w:t xml:space="preserve">第二条  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本方案应与通则结合使用</w:t>
      </w:r>
      <w:r>
        <w:rPr>
          <w:rFonts w:ascii="仿宋_GB2312" w:eastAsia="仿宋_GB2312" w:hAnsi="仿宋_GB2312" w:cs="仿宋_GB2312" w:hint="eastAsia"/>
          <w:snapToGrid w:val="0"/>
          <w:spacing w:val="-35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适用于其他食品（</w:t>
      </w:r>
      <w:r>
        <w:rPr>
          <w:rFonts w:ascii="仿宋_GB2312" w:eastAsia="仿宋_GB2312" w:hAnsi="仿宋_GB2312" w:cs="仿宋_GB2312" w:hint="eastAsia"/>
          <w:snapToGrid w:val="0"/>
          <w:spacing w:val="3"/>
          <w:kern w:val="0"/>
          <w:sz w:val="32"/>
          <w:szCs w:val="32"/>
        </w:rPr>
        <w:t>果冻粉料</w:t>
      </w:r>
      <w:r>
        <w:rPr>
          <w:rFonts w:ascii="仿宋_GB2312" w:eastAsia="仿宋_GB2312" w:hAnsi="仿宋_GB2312" w:cs="仿宋_GB2312" w:hint="eastAsia"/>
          <w:snapToGrid w:val="0"/>
          <w:spacing w:val="5"/>
          <w:kern w:val="0"/>
          <w:sz w:val="32"/>
          <w:szCs w:val="32"/>
        </w:rPr>
        <w:t>）生产许可审查工作。仅有包装场地、工序、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设备</w:t>
      </w:r>
      <w:r>
        <w:rPr>
          <w:rFonts w:ascii="仿宋_GB2312" w:eastAsia="仿宋_GB2312" w:hAnsi="仿宋_GB2312" w:cs="仿宋_GB2312" w:hint="eastAsia"/>
          <w:snapToGrid w:val="0"/>
          <w:spacing w:val="-33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没有完整的生产条件，不予生产许可。</w:t>
      </w:r>
    </w:p>
    <w:p w:rsidR="00D27BAF" w:rsidRDefault="004E15E7">
      <w:pPr>
        <w:pStyle w:val="a3"/>
        <w:adjustRightInd w:val="0"/>
        <w:snapToGrid w:val="0"/>
        <w:spacing w:line="560" w:lineRule="exact"/>
        <w:ind w:firstLineChars="200" w:firstLine="643"/>
        <w:rPr>
          <w:rFonts w:ascii="方正仿宋_GB2312" w:eastAsia="方正仿宋_GB2312" w:hAnsi="方正仿宋_GB2312" w:cs="方正仿宋_GB2312"/>
          <w:spacing w:val="6"/>
          <w:szCs w:val="32"/>
        </w:rPr>
      </w:pPr>
      <w:r>
        <w:rPr>
          <w:rFonts w:ascii="仿宋_GB2312" w:hAnsi="仿宋_GB2312" w:cs="仿宋_GB2312" w:hint="eastAsia"/>
          <w:b/>
          <w:snapToGrid w:val="0"/>
          <w:kern w:val="0"/>
          <w:szCs w:val="32"/>
        </w:rPr>
        <w:t>第三条</w:t>
      </w:r>
      <w:r>
        <w:rPr>
          <w:rFonts w:ascii="仿宋_GB2312" w:hAnsi="仿宋_GB2312" w:cs="仿宋_GB2312" w:hint="eastAsia"/>
          <w:snapToGrid w:val="0"/>
          <w:kern w:val="0"/>
          <w:szCs w:val="32"/>
        </w:rPr>
        <w:t xml:space="preserve"> </w:t>
      </w:r>
      <w:r w:rsidRPr="004E15E7">
        <w:rPr>
          <w:rFonts w:ascii="仿宋_GB2312" w:hAnsi="仿宋_GB2312" w:cs="仿宋_GB2312" w:hint="eastAsia"/>
          <w:snapToGrid w:val="0"/>
          <w:kern w:val="0"/>
          <w:szCs w:val="32"/>
        </w:rPr>
        <w:t xml:space="preserve"> </w:t>
      </w:r>
      <w:r w:rsidRPr="004E15E7">
        <w:rPr>
          <w:rFonts w:ascii="方正仿宋_GB2312" w:eastAsia="方正仿宋_GB2312" w:hAnsi="方正仿宋_GB2312" w:cs="方正仿宋_GB2312" w:hint="eastAsia"/>
          <w:snapToGrid w:val="0"/>
          <w:spacing w:val="9"/>
          <w:kern w:val="0"/>
          <w:szCs w:val="32"/>
        </w:rPr>
        <w:t>果冻粉料</w:t>
      </w:r>
      <w:r w:rsidRPr="004E15E7">
        <w:rPr>
          <w:rFonts w:ascii="方正仿宋_GB2312" w:eastAsia="方正仿宋_GB2312" w:hAnsi="方正仿宋_GB2312" w:cs="方正仿宋_GB2312" w:hint="eastAsia"/>
          <w:snapToGrid w:val="0"/>
          <w:spacing w:val="6"/>
          <w:kern w:val="0"/>
          <w:szCs w:val="32"/>
        </w:rPr>
        <w:t>产品是</w:t>
      </w:r>
      <w:r w:rsidRPr="004E15E7">
        <w:rPr>
          <w:rFonts w:ascii="方正仿宋_GB2312" w:eastAsia="方正仿宋_GB2312" w:hAnsi="方正仿宋_GB2312" w:cs="方正仿宋_GB2312" w:hint="eastAsia"/>
          <w:szCs w:val="32"/>
        </w:rPr>
        <w:t>指</w:t>
      </w:r>
      <w:r w:rsidRPr="004E15E7">
        <w:rPr>
          <w:rFonts w:ascii="方正仿宋_GB2312" w:eastAsia="方正仿宋_GB2312" w:hAnsi="方正仿宋_GB2312" w:cs="方正仿宋_GB2312" w:hint="eastAsia"/>
          <w:kern w:val="0"/>
          <w:szCs w:val="32"/>
        </w:rPr>
        <w:t>以食糖和（或）淀粉糖、增稠剂为原料，添加或不添加乳及乳制品、植脂末、蛋白固体饮料、果蔬制品、谷物制品、淀粉及淀粉制品、巧克力及巧克力制品、茶叶及相关制品等一种或几种原料，经</w:t>
      </w:r>
      <w:r>
        <w:rPr>
          <w:rFonts w:ascii="方正仿宋_GB2312" w:eastAsia="方正仿宋_GB2312" w:hAnsi="方正仿宋_GB2312" w:cs="方正仿宋_GB2312" w:hint="eastAsia"/>
          <w:kern w:val="0"/>
          <w:szCs w:val="32"/>
        </w:rPr>
        <w:t>原料验收、预处理（必要时）、配料、混合、包装等工艺制作而成的需经过加工后制成即食类果冻的果冻制作料。</w:t>
      </w:r>
      <w:r>
        <w:rPr>
          <w:rFonts w:ascii="方正仿宋_GB2312" w:eastAsia="方正仿宋_GB2312" w:hAnsi="方正仿宋_GB2312" w:cs="方正仿宋_GB2312" w:hint="eastAsia"/>
          <w:color w:val="000000"/>
          <w:szCs w:val="32"/>
        </w:rPr>
        <w:t>果冻粉料</w:t>
      </w:r>
      <w:r>
        <w:rPr>
          <w:rFonts w:ascii="方正仿宋_GB2312" w:eastAsia="方正仿宋_GB2312" w:hAnsi="方正仿宋_GB2312" w:cs="方正仿宋_GB2312" w:hint="eastAsia"/>
          <w:snapToGrid w:val="0"/>
          <w:spacing w:val="6"/>
          <w:kern w:val="0"/>
          <w:szCs w:val="32"/>
        </w:rPr>
        <w:t>产品</w:t>
      </w:r>
      <w:r>
        <w:rPr>
          <w:rFonts w:ascii="方正仿宋_GB2312" w:eastAsia="方正仿宋_GB2312" w:hAnsi="方正仿宋_GB2312" w:cs="方正仿宋_GB2312" w:hint="eastAsia"/>
          <w:spacing w:val="6"/>
          <w:szCs w:val="32"/>
        </w:rPr>
        <w:t>的申证单元为其他食品。</w:t>
      </w:r>
    </w:p>
    <w:p w:rsidR="00D27BAF" w:rsidRDefault="004E15E7">
      <w:pPr>
        <w:pStyle w:val="a3"/>
        <w:adjustRightInd w:val="0"/>
        <w:snapToGrid w:val="0"/>
        <w:spacing w:line="560" w:lineRule="exact"/>
        <w:ind w:firstLineChars="200" w:firstLine="667"/>
        <w:rPr>
          <w:rFonts w:ascii="仿宋_GB2312" w:hAnsi="仿宋_GB2312" w:cs="仿宋_GB2312"/>
          <w:spacing w:val="5"/>
          <w:szCs w:val="32"/>
        </w:rPr>
      </w:pPr>
      <w:r>
        <w:rPr>
          <w:rFonts w:ascii="仿宋_GB2312" w:hAnsi="仿宋_GB2312" w:cs="仿宋_GB2312" w:hint="eastAsia"/>
          <w:b/>
          <w:snapToGrid w:val="0"/>
          <w:spacing w:val="6"/>
          <w:kern w:val="0"/>
          <w:szCs w:val="32"/>
        </w:rPr>
        <w:t>第四条</w:t>
      </w:r>
      <w:r>
        <w:rPr>
          <w:rFonts w:ascii="仿宋_GB2312" w:hAnsi="仿宋_GB2312" w:cs="仿宋_GB2312" w:hint="eastAsia"/>
          <w:snapToGrid w:val="0"/>
          <w:spacing w:val="6"/>
          <w:kern w:val="0"/>
          <w:szCs w:val="32"/>
        </w:rPr>
        <w:t xml:space="preserve">  果冻粉料的</w:t>
      </w:r>
      <w:r>
        <w:rPr>
          <w:rFonts w:ascii="仿宋_GB2312" w:hAnsi="仿宋_GB2312" w:cs="仿宋_GB2312" w:hint="eastAsia"/>
          <w:spacing w:val="6"/>
          <w:szCs w:val="32"/>
        </w:rPr>
        <w:t>食品类别为：</w:t>
      </w:r>
      <w:r>
        <w:rPr>
          <w:rFonts w:ascii="仿宋_GB2312" w:hAnsi="仿宋_GB2312" w:cs="仿宋_GB2312" w:hint="eastAsia"/>
          <w:spacing w:val="5"/>
          <w:szCs w:val="32"/>
        </w:rPr>
        <w:t>其他食品；类别编号为3101；果冻粉料。</w:t>
      </w:r>
    </w:p>
    <w:p w:rsidR="00D27BAF" w:rsidRDefault="004E15E7" w:rsidP="004E15E7">
      <w:pPr>
        <w:pStyle w:val="a3"/>
        <w:adjustRightInd w:val="0"/>
        <w:snapToGrid w:val="0"/>
        <w:spacing w:line="560" w:lineRule="exact"/>
        <w:ind w:firstLineChars="200" w:firstLine="674"/>
        <w:rPr>
          <w:rFonts w:ascii="仿宋_GB2312" w:hAnsi="仿宋_GB2312" w:cs="仿宋_GB2312"/>
          <w:spacing w:val="5"/>
          <w:szCs w:val="32"/>
        </w:rPr>
      </w:pPr>
      <w:r>
        <w:rPr>
          <w:rFonts w:ascii="仿宋_GB2312" w:hAnsi="仿宋_GB2312" w:cs="仿宋_GB2312" w:hint="eastAsia"/>
          <w:b/>
          <w:bCs/>
          <w:spacing w:val="8"/>
          <w:szCs w:val="32"/>
        </w:rPr>
        <w:t xml:space="preserve">第五条  </w:t>
      </w:r>
      <w:r>
        <w:rPr>
          <w:rFonts w:ascii="仿宋_GB2312" w:hAnsi="仿宋_GB2312" w:cs="仿宋_GB2312" w:hint="eastAsia"/>
          <w:spacing w:val="8"/>
          <w:szCs w:val="32"/>
        </w:rPr>
        <w:t>本方案中引用的文件</w:t>
      </w:r>
      <w:r>
        <w:rPr>
          <w:rFonts w:ascii="仿宋_GB2312" w:hAnsi="仿宋_GB2312" w:cs="仿宋_GB2312" w:hint="eastAsia"/>
          <w:spacing w:val="-55"/>
          <w:szCs w:val="32"/>
        </w:rPr>
        <w:t>、</w:t>
      </w:r>
      <w:r>
        <w:rPr>
          <w:rFonts w:ascii="仿宋_GB2312" w:hAnsi="仿宋_GB2312" w:cs="仿宋_GB2312" w:hint="eastAsia"/>
          <w:spacing w:val="8"/>
          <w:szCs w:val="32"/>
        </w:rPr>
        <w:t>标准通过引用成为本方案的</w:t>
      </w:r>
      <w:r>
        <w:rPr>
          <w:rFonts w:ascii="仿宋_GB2312" w:hAnsi="仿宋_GB2312" w:cs="仿宋_GB2312" w:hint="eastAsia"/>
          <w:spacing w:val="6"/>
          <w:szCs w:val="32"/>
        </w:rPr>
        <w:t>内容</w:t>
      </w:r>
      <w:r>
        <w:rPr>
          <w:rFonts w:ascii="仿宋_GB2312" w:hAnsi="仿宋_GB2312" w:cs="仿宋_GB2312" w:hint="eastAsia"/>
          <w:spacing w:val="-49"/>
          <w:szCs w:val="32"/>
        </w:rPr>
        <w:t>。</w:t>
      </w:r>
      <w:r>
        <w:rPr>
          <w:rFonts w:ascii="仿宋_GB2312" w:hAnsi="仿宋_GB2312" w:cs="仿宋_GB2312" w:hint="eastAsia"/>
          <w:spacing w:val="6"/>
          <w:szCs w:val="32"/>
        </w:rPr>
        <w:t>凡是引用文件、标准，其最新版本（包括所有的修改单）</w:t>
      </w:r>
      <w:r>
        <w:rPr>
          <w:rFonts w:ascii="仿宋_GB2312" w:hAnsi="仿宋_GB2312" w:cs="仿宋_GB2312" w:hint="eastAsia"/>
          <w:spacing w:val="5"/>
          <w:szCs w:val="32"/>
        </w:rPr>
        <w:t>适用于本方案。</w:t>
      </w:r>
    </w:p>
    <w:p w:rsidR="00D27BAF" w:rsidRDefault="004E15E7" w:rsidP="00047BA8">
      <w:pPr>
        <w:pStyle w:val="a3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eastAsia="黑体" w:hAnsi="黑体" w:cs="黑体"/>
          <w:snapToGrid w:val="0"/>
          <w:spacing w:val="7"/>
          <w:kern w:val="0"/>
          <w:position w:val="1"/>
          <w:szCs w:val="32"/>
        </w:rPr>
      </w:pPr>
      <w:r>
        <w:rPr>
          <w:rFonts w:ascii="黑体" w:eastAsia="黑体" w:hAnsi="黑体" w:cs="黑体" w:hint="eastAsia"/>
          <w:snapToGrid w:val="0"/>
          <w:spacing w:val="7"/>
          <w:kern w:val="0"/>
          <w:position w:val="1"/>
          <w:szCs w:val="32"/>
        </w:rPr>
        <w:t>第二章 生产场所</w:t>
      </w:r>
    </w:p>
    <w:p w:rsidR="00D27BAF" w:rsidRPr="004E15E7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lastRenderedPageBreak/>
        <w:t>第六条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</w:t>
      </w:r>
      <w:r w:rsidRPr="004E15E7"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厂区、厂房选址和设计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、内部</w:t>
      </w:r>
      <w:r w:rsidRPr="004E15E7"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建筑结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构应当符合国家标准GB 14881 《食品安全国家标准 </w:t>
      </w:r>
      <w:r w:rsidRPr="004E15E7"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  <w:t>食品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生产</w:t>
      </w:r>
      <w:r w:rsidRPr="004E15E7"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  <w:t>通用卫生规范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》的相关规定。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生产场所一般应设置原料预处理间、配料间、混合间、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内包装间、外包装间、实验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室、原辅料及包装材料仓库、成品仓库。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生产车间地面应平整，易于清洗、消毒，依其清洁度要求一般分为清洁作业区、准清洁作业区和一般作业区。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不同清洁作业区之间应采取有效分离或分隔，并应有显著的标识加以区分。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清洁作业区包括配料间、混合间、内包装间区域。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准清洁作业区包括原料预处理间、暂存区、内包材消毒间。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一般作业区原辅料仓库区域、包装材料仓库区域、成品仓库区域、外包装间区域。</w:t>
      </w:r>
    </w:p>
    <w:p w:rsidR="00D27BAF" w:rsidRDefault="004E15E7">
      <w:pPr>
        <w:pStyle w:val="a3"/>
        <w:spacing w:line="580" w:lineRule="exact"/>
        <w:ind w:firstLineChars="200" w:firstLine="667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napToGrid w:val="0"/>
          <w:spacing w:val="6"/>
          <w:kern w:val="0"/>
          <w:szCs w:val="32"/>
        </w:rPr>
        <w:t>第九条</w:t>
      </w:r>
      <w:r>
        <w:rPr>
          <w:rFonts w:ascii="仿宋_GB2312" w:hAnsi="仿宋_GB2312" w:cs="仿宋_GB2312" w:hint="eastAsia"/>
          <w:snapToGrid w:val="0"/>
          <w:spacing w:val="6"/>
          <w:kern w:val="0"/>
          <w:szCs w:val="32"/>
        </w:rPr>
        <w:t xml:space="preserve">  </w:t>
      </w:r>
      <w:r>
        <w:rPr>
          <w:rFonts w:ascii="仿宋_GB2312" w:hAnsi="仿宋_GB2312" w:cs="仿宋_GB2312" w:hint="eastAsia"/>
          <w:spacing w:val="1"/>
          <w:szCs w:val="32"/>
        </w:rPr>
        <w:t>生产车间地面应平整、便于清洗、消毒及保持清洁。</w:t>
      </w:r>
      <w:r w:rsidRPr="004E15E7">
        <w:rPr>
          <w:rFonts w:ascii="仿宋_GB2312" w:hAnsi="仿宋_GB2312" w:cs="仿宋_GB2312" w:hint="eastAsia"/>
          <w:snapToGrid w:val="0"/>
          <w:spacing w:val="6"/>
          <w:kern w:val="0"/>
          <w:szCs w:val="32"/>
        </w:rPr>
        <w:t>清洁作业区</w:t>
      </w:r>
      <w:r w:rsidRPr="004E15E7">
        <w:rPr>
          <w:rFonts w:ascii="仿宋_GB2312" w:hAnsi="仿宋_GB2312" w:cs="仿宋_GB2312" w:hint="eastAsia"/>
          <w:spacing w:val="1"/>
          <w:szCs w:val="32"/>
        </w:rPr>
        <w:t>的温度、相对湿度应与生产工艺相适应，温度应不高于28℃，相对湿度不超过60%。</w:t>
      </w:r>
      <w:r>
        <w:rPr>
          <w:rFonts w:ascii="仿宋_GB2312" w:hAnsi="仿宋_GB2312" w:cs="仿宋_GB2312" w:hint="eastAsia"/>
          <w:szCs w:val="32"/>
        </w:rPr>
        <w:t>应采用干清、酒精、臭氧等方式对环境场所进行消毒杀菌。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生产场所或生产车间的入口处应设置更衣室，</w:t>
      </w:r>
      <w:r w:rsidRPr="004E15E7"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配置足够数量的非手动式洗手设施、感应式干手设施。进入清洁作业区还应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有更衣区换鞋（穿戴鞋套）设施，并设置</w:t>
      </w:r>
      <w:r w:rsidRPr="004E15E7"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风淋室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等除尘、异物</w:t>
      </w:r>
      <w:r w:rsidRPr="004E15E7"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（头发等）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设施。 </w:t>
      </w:r>
    </w:p>
    <w:p w:rsidR="00D27BAF" w:rsidRDefault="004E15E7" w:rsidP="00047BA8">
      <w:pPr>
        <w:pStyle w:val="a3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eastAsia="黑体" w:hAnsi="黑体" w:cs="黑体"/>
          <w:snapToGrid w:val="0"/>
          <w:spacing w:val="7"/>
          <w:kern w:val="0"/>
          <w:position w:val="1"/>
          <w:szCs w:val="32"/>
        </w:rPr>
      </w:pPr>
      <w:r>
        <w:rPr>
          <w:rFonts w:ascii="黑体" w:eastAsia="黑体" w:hAnsi="黑体" w:cs="黑体" w:hint="eastAsia"/>
          <w:snapToGrid w:val="0"/>
          <w:spacing w:val="7"/>
          <w:kern w:val="0"/>
          <w:position w:val="1"/>
          <w:szCs w:val="32"/>
        </w:rPr>
        <w:t>第三章 设备设施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企业应具有与生产产品品种、数量相适应的生产设备设施，性能和精度应满足生产要求，便于操作、清洁、维护。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" w:eastAsia="仿宋" w:hAnsi="仿宋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（1）应具备的生产设备一般包括：1、配料设备；2、混合设备；3、磨糖设备(必要时）；4、筛选设备（必要时）；5、</w:t>
      </w:r>
      <w:r w:rsidRPr="004B74C1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定量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包装设备；6、生产日期和批号标注设备；7、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pacing w:val="6"/>
          <w:kern w:val="0"/>
          <w:sz w:val="32"/>
          <w:szCs w:val="32"/>
        </w:rPr>
        <w:t>金属检测设备</w:t>
      </w:r>
      <w:r w:rsidR="004B74C1">
        <w:rPr>
          <w:rFonts w:ascii="仿宋" w:eastAsia="仿宋" w:hAnsi="仿宋" w:cs="仿宋_GB2312" w:hint="eastAsia"/>
          <w:snapToGrid w:val="0"/>
          <w:color w:val="000000" w:themeColor="text1"/>
          <w:spacing w:val="6"/>
          <w:kern w:val="0"/>
          <w:sz w:val="32"/>
          <w:szCs w:val="32"/>
        </w:rPr>
        <w:t>；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（2）所有接触产品的原料、过程产品、半成品的容器和工器具必须为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不锈钢或其他无毒害的惰性材料制作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；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（3）盛装废弃物的容器不得与盛装产品与原料的容器混用，应有明显标志；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（4）设备台账、说明书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、履历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、档案应保管齐全；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（5）设备维护保养完好，其性能与精度符合生产规程要求。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主要的管道设施应标明内容物名称和流向。用于测定、控制、记录的监控设备，如压力表、温度计等，应定期校准，确保准确有效。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生产用水的水质应符合《生活饮用水卫生标准》（</w:t>
      </w:r>
      <w:r>
        <w:rPr>
          <w:rFonts w:eastAsia="仿宋_GB2312"/>
          <w:snapToGrid w:val="0"/>
          <w:spacing w:val="6"/>
          <w:kern w:val="0"/>
          <w:sz w:val="32"/>
          <w:szCs w:val="32"/>
        </w:rPr>
        <w:t>GB 5749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）的相关要求。有合理的排水设施和废水处理设施，排水流向应由清洁程度要求高的区域流向清洁程度要求低的区域，排水系统入口应安装带水封的地漏，以防止固体废弃物进入及浊气逸出，并有防止废水逆流的设计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在有粉尘产生而有可能污染食品的区域（投料区域）， 应有适当的除尘装置。通风口必须装有易清洗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耐腐蚀网罩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color w:val="0070C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pacing w:val="6"/>
          <w:kern w:val="0"/>
          <w:sz w:val="32"/>
          <w:szCs w:val="32"/>
        </w:rPr>
        <w:t>内包材脱包后暂存间或等效设施（</w:t>
      </w:r>
      <w:r>
        <w:rPr>
          <w:rFonts w:ascii="仿宋" w:eastAsia="仿宋" w:hAnsi="仿宋" w:cs="仿宋_GB2312" w:hint="eastAsia"/>
          <w:snapToGrid w:val="0"/>
          <w:color w:val="000000" w:themeColor="text1"/>
          <w:spacing w:val="6"/>
          <w:kern w:val="0"/>
          <w:sz w:val="32"/>
          <w:szCs w:val="32"/>
        </w:rPr>
        <w:t>如传递窗）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pacing w:val="6"/>
          <w:kern w:val="0"/>
          <w:sz w:val="32"/>
          <w:szCs w:val="32"/>
        </w:rPr>
        <w:t>应设置消毒装置。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企业自行检验的，检验设备的数量应与企业生产能力相适应，精度应满足检验需要。检验仪器设备和检验用计量器具应按照相关规定定期进行校验。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检验设备包括：1、天平（0.1g）；2、分析天平（0.01g）；2、干燥箱；3、压力灭菌锅；4、无菌操作室或超净工作台；5、微生物培养箱；6、生物显微镜等。</w:t>
      </w:r>
    </w:p>
    <w:p w:rsidR="00D27BAF" w:rsidRDefault="004E15E7" w:rsidP="00047BA8">
      <w:pPr>
        <w:pStyle w:val="a3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eastAsia="黑体" w:hAnsi="黑体" w:cs="黑体"/>
          <w:snapToGrid w:val="0"/>
          <w:spacing w:val="7"/>
          <w:kern w:val="0"/>
          <w:position w:val="1"/>
          <w:szCs w:val="32"/>
        </w:rPr>
      </w:pPr>
      <w:r>
        <w:rPr>
          <w:rFonts w:ascii="黑体" w:eastAsia="黑体" w:hAnsi="黑体" w:cs="黑体" w:hint="eastAsia"/>
          <w:snapToGrid w:val="0"/>
          <w:spacing w:val="7"/>
          <w:kern w:val="0"/>
          <w:position w:val="1"/>
          <w:szCs w:val="32"/>
        </w:rPr>
        <w:t>第四章 设备布局和工艺流程</w:t>
      </w:r>
    </w:p>
    <w:p w:rsidR="00D27BAF" w:rsidRPr="004E15E7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设备布局应按工艺流程设计，一般包括：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pacing w:val="6"/>
          <w:kern w:val="0"/>
          <w:sz w:val="32"/>
          <w:szCs w:val="32"/>
        </w:rPr>
        <w:t>原料验收、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预处理(如原料粉碎等）、配料、</w:t>
      </w:r>
      <w:bookmarkStart w:id="0" w:name="_Hlk174610232"/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混合、包装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pacing w:val="6"/>
          <w:kern w:val="0"/>
          <w:sz w:val="32"/>
          <w:szCs w:val="32"/>
        </w:rPr>
        <w:t>、金检</w:t>
      </w:r>
      <w:bookmarkEnd w:id="0"/>
      <w:r>
        <w:rPr>
          <w:rFonts w:ascii="仿宋_GB2312" w:eastAsia="仿宋_GB2312" w:hAnsi="仿宋_GB2312" w:cs="仿宋_GB2312" w:hint="eastAsia"/>
          <w:snapToGrid w:val="0"/>
          <w:color w:val="000000" w:themeColor="text1"/>
          <w:spacing w:val="6"/>
          <w:kern w:val="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工艺。</w:t>
      </w:r>
      <w:bookmarkStart w:id="1" w:name="_Hlk174610144"/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其中原料验收、配料和金检为关键控制点。</w:t>
      </w:r>
      <w:bookmarkEnd w:id="1"/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具体产品按企业实际工艺流程生产，但其工艺流程必须科学合理，符合相关规定。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配料控制。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有该工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艺的，应对配料名称、进货时间、批号等进行严格核对和记录，配料装置应定期校准；配料应复核确认。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第二十条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包装控制。产品包装前应设置相应的异物控制措施，按照净含量要求定量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pacing w:val="6"/>
          <w:kern w:val="0"/>
          <w:sz w:val="32"/>
          <w:szCs w:val="32"/>
        </w:rPr>
        <w:t>包装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；包装后应对产品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外观、包装量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、容器状况进行检查。</w:t>
      </w:r>
    </w:p>
    <w:p w:rsidR="00D27BAF" w:rsidRPr="004E15E7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 w:rsidRPr="004E15E7">
        <w:rPr>
          <w:rFonts w:ascii="仿宋_GB2312" w:eastAsia="仿宋_GB2312" w:hAnsi="仿宋_GB2312" w:cs="仿宋_GB2312" w:hint="eastAsia"/>
          <w:b/>
          <w:bCs/>
          <w:snapToGrid w:val="0"/>
          <w:spacing w:val="6"/>
          <w:kern w:val="0"/>
          <w:sz w:val="32"/>
          <w:szCs w:val="32"/>
        </w:rPr>
        <w:t>第二十一条</w:t>
      </w:r>
      <w:r w:rsidRPr="004E15E7"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产品分类应符合GB2760</w:t>
      </w:r>
      <w:r w:rsidRPr="004E15E7">
        <w:rPr>
          <w:rFonts w:ascii="仿宋_GB2312" w:eastAsia="仿宋_GB2312" w:hint="eastAsia"/>
          <w:sz w:val="32"/>
          <w:szCs w:val="32"/>
        </w:rPr>
        <w:t>中的最</w:t>
      </w:r>
      <w:r w:rsidRPr="004E15E7">
        <w:rPr>
          <w:rFonts w:ascii="仿宋" w:eastAsia="仿宋" w:hAnsi="仿宋" w:hint="eastAsia"/>
          <w:sz w:val="32"/>
          <w:szCs w:val="32"/>
        </w:rPr>
        <w:t>小分</w:t>
      </w:r>
      <w:r w:rsidRPr="004E15E7">
        <w:rPr>
          <w:rFonts w:ascii="仿宋_GB2312" w:eastAsia="仿宋_GB2312" w:hint="eastAsia"/>
          <w:sz w:val="32"/>
          <w:szCs w:val="32"/>
        </w:rPr>
        <w:t>类号“果冻”。</w:t>
      </w:r>
    </w:p>
    <w:p w:rsidR="00D27BAF" w:rsidRDefault="004E15E7" w:rsidP="00047BA8">
      <w:pPr>
        <w:pStyle w:val="a3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eastAsia="黑体" w:hAnsi="黑体" w:cs="黑体"/>
          <w:snapToGrid w:val="0"/>
          <w:spacing w:val="7"/>
          <w:kern w:val="0"/>
          <w:position w:val="1"/>
          <w:szCs w:val="32"/>
        </w:rPr>
      </w:pPr>
      <w:r>
        <w:rPr>
          <w:rFonts w:ascii="黑体" w:eastAsia="黑体" w:hAnsi="黑体" w:cs="黑体" w:hint="eastAsia"/>
          <w:snapToGrid w:val="0"/>
          <w:spacing w:val="7"/>
          <w:kern w:val="0"/>
          <w:position w:val="1"/>
          <w:szCs w:val="32"/>
        </w:rPr>
        <w:t>第五章 人员管理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第二十二条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应依法配合食品安全管理人员和食品安全专业技术人员。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企业主要负责人、食品安全总监、食品安全员应符合《企业落实食品安全主体责任监督管理规定》。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第二十三条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企业应当建立培训与考核制度，制定培训计划，培训的内容应与岗位要求相适应，并有相应记录。食品安全管理、检验等与质量相关岗位的人员应定期培训考核，不具备能力的不得上岗。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第二十四条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从事接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触直接入口食品工作的食品生产人员应当每年进行健康检查，取得健康证明后方可上岗工作。</w:t>
      </w:r>
    </w:p>
    <w:p w:rsidR="00D27BAF" w:rsidRDefault="004E15E7" w:rsidP="00047BA8">
      <w:pPr>
        <w:pStyle w:val="a3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eastAsia="黑体" w:hAnsi="黑体" w:cs="黑体"/>
          <w:snapToGrid w:val="0"/>
          <w:spacing w:val="7"/>
          <w:kern w:val="0"/>
          <w:position w:val="1"/>
          <w:szCs w:val="32"/>
        </w:rPr>
      </w:pPr>
      <w:r>
        <w:rPr>
          <w:rFonts w:ascii="黑体" w:eastAsia="黑体" w:hAnsi="黑体" w:cs="黑体" w:hint="eastAsia"/>
          <w:snapToGrid w:val="0"/>
          <w:spacing w:val="7"/>
          <w:kern w:val="0"/>
          <w:position w:val="1"/>
          <w:szCs w:val="32"/>
        </w:rPr>
        <w:t>第六章 管理制度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" w:eastAsia="仿宋" w:hAnsi="仿宋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第二十五条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建立并执行采购管理及进货查验记录制度。对原辅料、包装材料供应商进行审核，并定期进行审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核评估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；应在和供应商签订的合同中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明确双方承担的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食品安全责任；应有对采购的原辅材料进行验证、检验、记录、报告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以及接收或拒收的处理意见和审批手续；采购制度应保证原辅料符合相应的食品安全国家标准、地方标准和企业标准的规定。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第二十六条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建立并执行生产过程管理制度。对生产过程中配料、混合、包装、储运和交付环节质量安全进行管控。所有设备和工器具必须定期清洗或消毒；接触物料的设备和工器具使用前、后应清洗、消毒。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第二十七条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建立并执行人员管理制度。技术人员、操作人员上岗应培训、考核；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重要工段设定相适应的生产、质量、检验技术人员及岗位责任；有计划开展食品安全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知识及卫生培训；食品安全管理人员上岗前应当经过培训，并考核合格；生产加工人员应当每年进行健康检查，取得健康证明后方可上岗工作；生产加工人员患法律法规规定的有碍食品安全的疾病时，应调离原工作岗位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</w:t>
      </w:r>
      <w:r>
        <w:rPr>
          <w:rFonts w:ascii="仿宋" w:eastAsia="仿宋" w:hAnsi="仿宋" w:cs="仿宋_GB2312" w:hint="eastAsia"/>
          <w:b/>
          <w:snapToGrid w:val="0"/>
          <w:spacing w:val="6"/>
          <w:kern w:val="0"/>
          <w:sz w:val="32"/>
          <w:szCs w:val="32"/>
        </w:rPr>
        <w:t>二十</w:t>
      </w:r>
      <w:r>
        <w:rPr>
          <w:rFonts w:ascii="仿宋" w:eastAsia="仿宋" w:hAnsi="仿宋" w:cs="宋体" w:hint="eastAsia"/>
          <w:b/>
          <w:snapToGrid w:val="0"/>
          <w:spacing w:val="6"/>
          <w:kern w:val="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建立并执行检验管理及出厂检验记录制度。包括对原辅料、过程、出厂检验的管理规定，确保产品符合食品安全标准要求。其他食品（果冻粉料）企业的检验能力至少满足感官、水分/干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燥失重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、净含量、菌落总数、大肠菌群项目的测定。对出厂的产品逐批出厂检验，并保存检验报告2年，样品保留至保质期期满。不能自行检验的，应当委托具有合法资质的检验机构进行检验，并出具检验报告。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第二十九条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建立并执行运输和交付管理制度。根据食品及食品原料的特点和卫生需要规定运输、交付要求。不得与有毒、有害、有异味的物品一同运输。不应使用未经清洗的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车辆和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未经消毒的容器运输产品。采购第三方物流服务的企业应签订合同，满足上述要求。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 xml:space="preserve">第三十条 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建立并执行食品安全追溯制度。如实记录原料采购与验收、生产加工、产品检验、出厂销售等全过程信息，实现产品有效追溯。企业应合理设定产品批次，建立批生产记录，如实记录投料的原料名称、投料数量、产品批号、投料日期等信息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第三十一条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 建立并执行食品安全自查制度。企业应对原料生产安全状况进行检查评价，并规定自查频次。自查内容应包括食品原料、辅料、食品相关产品进货查验情况。生产过程控制情况；人员管理情况；检验管理情况；记录及文件管理情况等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第三十二条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建立并执行不合格品管理及不安全食品召回制度。应明确对在验收和生产过程中发现的不合格原料、半成品和成品进行标识、贮存和处置措施，不合格品应与合格品分开放置并明显标记。如实、完整记录不合格品保存和处理情况。企业应对召回的食品采取补救、无害化处置、销毁等措施，如实记录召回和处置情况，并向所在地县级市场监管部门报告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 xml:space="preserve">第三十三条 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其他制度（企业根据实际情况自行制定）。</w:t>
      </w:r>
    </w:p>
    <w:p w:rsidR="00D27BAF" w:rsidRDefault="004E15E7" w:rsidP="00047BA8">
      <w:pPr>
        <w:pStyle w:val="a3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eastAsia="黑体" w:hAnsi="黑体" w:cs="黑体"/>
          <w:snapToGrid w:val="0"/>
          <w:spacing w:val="7"/>
          <w:kern w:val="0"/>
          <w:position w:val="1"/>
          <w:szCs w:val="32"/>
        </w:rPr>
      </w:pPr>
      <w:r>
        <w:rPr>
          <w:rFonts w:ascii="黑体" w:eastAsia="黑体" w:hAnsi="黑体" w:cs="黑体" w:hint="eastAsia"/>
          <w:snapToGrid w:val="0"/>
          <w:spacing w:val="7"/>
          <w:kern w:val="0"/>
          <w:position w:val="1"/>
          <w:szCs w:val="32"/>
        </w:rPr>
        <w:t>第七章 试制产品检验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第三十四条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企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业按所申报果冻粉料的品种和执行标准，分别从同一规格、同一批次的试制产品中抽取具有代表性的样品检验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第三十五条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企业应对提供的检验报告真实性负责；检验项目按产品适用的食品安全国家标准、产品标准、企业标准及国务院卫生行政部门的相关公告要求进行。</w:t>
      </w:r>
    </w:p>
    <w:p w:rsidR="00D27BAF" w:rsidRDefault="004E15E7" w:rsidP="00047BA8">
      <w:pPr>
        <w:pStyle w:val="a3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eastAsia="黑体" w:hAnsi="黑体" w:cs="黑体"/>
          <w:snapToGrid w:val="0"/>
          <w:spacing w:val="7"/>
          <w:kern w:val="0"/>
          <w:position w:val="1"/>
          <w:szCs w:val="32"/>
        </w:rPr>
      </w:pPr>
      <w:r>
        <w:rPr>
          <w:rFonts w:ascii="黑体" w:eastAsia="黑体" w:hAnsi="黑体" w:cs="黑体" w:hint="eastAsia"/>
          <w:snapToGrid w:val="0"/>
          <w:spacing w:val="7"/>
          <w:kern w:val="0"/>
          <w:position w:val="1"/>
          <w:szCs w:val="32"/>
        </w:rPr>
        <w:t>第八章 附则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第三十六条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果冻粉料相关标准、检验项目和方法参见附件（资料性文件）。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7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6"/>
          <w:kern w:val="0"/>
          <w:sz w:val="32"/>
          <w:szCs w:val="32"/>
        </w:rPr>
        <w:t>第三十七条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 xml:space="preserve">  </w:t>
      </w:r>
      <w:bookmarkStart w:id="2" w:name="_Hlk174609790"/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本方</w:t>
      </w:r>
      <w:r>
        <w:rPr>
          <w:rFonts w:ascii="仿宋" w:eastAsia="仿宋" w:hAnsi="仿宋" w:cs="仿宋_GB2312" w:hint="eastAsia"/>
          <w:snapToGrid w:val="0"/>
          <w:spacing w:val="6"/>
          <w:kern w:val="0"/>
          <w:sz w:val="32"/>
          <w:szCs w:val="32"/>
        </w:rPr>
        <w:t>案自宿迁经济技术开发区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综合行政执法局发布之日起实施。</w:t>
      </w:r>
    </w:p>
    <w:bookmarkEnd w:id="2"/>
    <w:p w:rsidR="00D27BAF" w:rsidRDefault="00D27BAF">
      <w:pPr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附件1：果冻粉料生产所涉及到的标准</w:t>
      </w:r>
    </w:p>
    <w:p w:rsidR="00D27BAF" w:rsidRDefault="004E15E7">
      <w:pPr>
        <w:widowControl/>
        <w:kinsoku w:val="0"/>
        <w:adjustRightInd w:val="0"/>
        <w:snapToGrid w:val="0"/>
        <w:spacing w:line="560" w:lineRule="exact"/>
        <w:ind w:firstLineChars="200" w:firstLine="664"/>
        <w:textAlignment w:val="baseline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附件2：果冻粉料产品检测项目</w:t>
      </w: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4E15E7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附件1：</w:t>
      </w:r>
    </w:p>
    <w:p w:rsidR="00D27BAF" w:rsidRDefault="004E15E7">
      <w:pPr>
        <w:spacing w:line="400" w:lineRule="exact"/>
        <w:rPr>
          <w:rFonts w:eastAsia="仿宋" w:hAnsi="仿宋"/>
          <w:b/>
          <w:color w:val="000000"/>
          <w:kern w:val="0"/>
          <w:sz w:val="30"/>
          <w:szCs w:val="30"/>
        </w:rPr>
      </w:pPr>
      <w:r>
        <w:rPr>
          <w:rFonts w:eastAsia="仿宋"/>
          <w:color w:val="000000"/>
          <w:kern w:val="0"/>
          <w:sz w:val="28"/>
          <w:szCs w:val="28"/>
        </w:rPr>
        <w:t xml:space="preserve">                        </w:t>
      </w:r>
      <w:r>
        <w:rPr>
          <w:rFonts w:eastAsia="仿宋" w:hAnsi="仿宋" w:hint="eastAsia"/>
          <w:b/>
          <w:color w:val="000000"/>
          <w:kern w:val="0"/>
          <w:sz w:val="30"/>
          <w:szCs w:val="30"/>
        </w:rPr>
        <w:t>果冻粉料</w:t>
      </w:r>
      <w:r>
        <w:rPr>
          <w:rFonts w:eastAsia="仿宋" w:hAnsi="仿宋"/>
          <w:b/>
          <w:color w:val="000000"/>
          <w:kern w:val="0"/>
          <w:sz w:val="30"/>
          <w:szCs w:val="30"/>
        </w:rPr>
        <w:t>生产所涉及到的标准</w:t>
      </w:r>
    </w:p>
    <w:p w:rsidR="00D27BAF" w:rsidRDefault="00D27BAF">
      <w:pPr>
        <w:spacing w:line="400" w:lineRule="exact"/>
        <w:rPr>
          <w:rFonts w:eastAsia="仿宋" w:hAnsi="仿宋"/>
          <w:b/>
          <w:color w:val="000000"/>
          <w:kern w:val="0"/>
          <w:sz w:val="30"/>
          <w:szCs w:val="30"/>
        </w:rPr>
      </w:pPr>
    </w:p>
    <w:tbl>
      <w:tblPr>
        <w:tblW w:w="9923" w:type="dxa"/>
        <w:jc w:val="center"/>
        <w:tblLayout w:type="fixed"/>
        <w:tblLook w:val="04A0"/>
      </w:tblPr>
      <w:tblGrid>
        <w:gridCol w:w="851"/>
        <w:gridCol w:w="1802"/>
        <w:gridCol w:w="7270"/>
      </w:tblGrid>
      <w:tr w:rsidR="00D27BAF">
        <w:trPr>
          <w:trHeight w:val="3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标准号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标准名称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GB/T 317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白砂糖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13104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食糖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15203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淀粉糖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20880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食用葡萄糖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20881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低聚异麦芽糖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20882.6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淀粉糖质量要求 第6部分 麦芽糊精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22491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大豆低聚糖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23528.2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低聚糖质量要求 第2部分：低聚果糖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25541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聚葡萄糖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25595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乳糖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5420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干酪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11674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乳清粉和乳清蛋白粉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15196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食用油脂制品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19644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乳粉和调制乳粉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DBS65/020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食品安全地方标准 发酵乳粉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QB/T 4791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植脂末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29602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固体饮料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GH/T 1091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代用茶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NY/T 494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魔芋粉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NY/T 834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银耳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NY/T 1884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果蔬粉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29343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木薯淀粉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8884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食用马铃薯淀粉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8885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食用玉米淀粉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31637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食用淀粉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18738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速溶豆粉和豆奶粉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19640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冲调谷物制品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20706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可可粉质量要求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34778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抹茶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QB/T 4067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食品工业用速溶茶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NY/T 892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绿色食品 燕麦及燕麦粉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QB/T 4067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食品工业用速溶茶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QB/T 4576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透明质酸钠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31645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胶原蛋白肽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DB46/T 69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椰子粉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T/GDL 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抗性糊精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10133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墨鱼汁粉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《卫生部关于批准菊粉、多聚果糖为新资源食品的公告》（卫生部公告 2009 年 第 5 号）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《关于批准 DHA 藻油、棉籽低聚糖等 7 种物品为新资源食品及其他相关规定的公告》（卫生部公告 2010 年第 3 号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《关于关山樱花等 32 种“三新食品”的公告》（国家卫生健康委 2022 年第 1 号）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GB/T 5461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食用盐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5749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生活饮用水卫生标准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1886.41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黄原胶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1886.169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卡拉胶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1886.239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琼脂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25533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果胶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1886.86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刺云实胶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25535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结冷胶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28304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可得然胶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28403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瓜尔胶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29945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槐豆胶(刺槐豆胶)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29949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阿拉伯胶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6783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明胶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1886.232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羧甲基纤维素钠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1886.243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海藻酸钠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29929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乙酰化二淀粉磷酸酯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29931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羟丙基二淀粉磷酸酯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29933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氧化羟丙基淀粉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柠檬酸钠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1886.235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柠檬酸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1886.74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柠檬酸钾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7657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葡萄糖酸-δ-内酯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1886.173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乳酸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25544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DL-苹果酸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六偏磷酸钠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乳酸钙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1886.212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酪蛋白酸钠（又名酪朊酸钠）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1886.27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蔗糖脂肪酸酯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1886.65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单，双甘油脂肪酸酯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25539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双乙酰酒石酸单双甘油酯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1886.92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硬脂酰乳酸钠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1886.39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山梨酸钾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1886.186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山梨酸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1886.44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抗坏血酸钠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14754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维生素C（抗坏血酸）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1886.37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环己基氨基磺酸钠（又名甜蜜素）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1886.47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天门冬酰苯丙氨酸甲酯（又名阿斯巴甜）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1886.77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罗汉果甜苷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1886.355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甜菊糖苷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1886.234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木糖醇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29944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N-[N-(3,3-二甲基丁基)]-L-α-天门冬氨-L-苯丙氨酸1-甲酯（纽甜）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1886.208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乙基麦芽酚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25531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三氯蔗糖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26404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赤藓糖醇</w:t>
            </w:r>
          </w:p>
        </w:tc>
      </w:tr>
      <w:tr w:rsidR="00D27BAF">
        <w:trPr>
          <w:trHeight w:val="4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25540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安赛蜜（乙酰磺胺酸钾）</w:t>
            </w:r>
          </w:p>
        </w:tc>
      </w:tr>
      <w:tr w:rsidR="00D27BAF">
        <w:trPr>
          <w:trHeight w:val="4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1886.76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姜黄素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1886.111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甜菜红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1886.181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红曲红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1886.217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亮蓝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1886.218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亮蓝铝色淀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1886.219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苋菜红铝色淀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1886.222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诱惑红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1886.223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诱惑红铝色淀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1886.224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日落黄铝色淀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6227.1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日落黄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1886.309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藻蓝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1886.315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胭脂虫红及其铝色淀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1886.316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胭脂树橙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辣椒红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1886.366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β-胡萝卜素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4479.1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苋菜红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4481.1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柠檬黄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4481.2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柠檬黄铝色淀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1886.341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二氧化钛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1886.64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焦糖色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26406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叶绿素铜钠盐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7912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栀子黄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1886.214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碳酸钙（包括轻质和重质碳酸钙）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1886.332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食品安全国家标准 食品添加剂 磷酸三钙  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1886.334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磷酸氢二钾</w:t>
            </w:r>
          </w:p>
        </w:tc>
      </w:tr>
      <w:tr w:rsidR="00D27BAF">
        <w:trPr>
          <w:trHeight w:val="38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1886.335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三聚磷酸钠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25585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氯化钾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25576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 二氧化硅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30616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食品用香精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26687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复配食品添加剂通则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2760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食品添加剂使用标准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2762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食品中污染物限量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2763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食品中农药最大残留限量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29921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预包装食品中致病菌限量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5009.3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食品中水分的测定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5009.12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食品中铅的测定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GB/T 191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包装储运图示标志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GB 4806.7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食品安全国家标准 食品接触用塑料材料及制品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GB/T 28118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食品包装用塑料与铝箔复合膜、袋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C9793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hyperlink r:id="rId6" w:tgtFrame="_blank" w:history="1">
              <w:r w:rsidR="004E15E7">
                <w:rPr>
                  <w:rFonts w:ascii="仿宋" w:eastAsia="仿宋" w:hAnsi="仿宋" w:cs="仿宋" w:hint="eastAsia"/>
                  <w:kern w:val="0"/>
                  <w:szCs w:val="21"/>
                </w:rPr>
                <w:t>GB 9</w:t>
              </w:r>
            </w:hyperlink>
            <w:r w:rsidR="004E15E7">
              <w:rPr>
                <w:rFonts w:ascii="仿宋" w:eastAsia="仿宋" w:hAnsi="仿宋" w:cs="仿宋" w:hint="eastAsia"/>
                <w:kern w:val="0"/>
                <w:szCs w:val="21"/>
              </w:rPr>
              <w:t>683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复合食品包装袋卫生标准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GB 9685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食品安全国家标准 食品接触材料及制品用添加剂使用标准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7718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预包装食品标签通则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GB 28050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食品安全国家标准 预包装食品营养标签通则</w:t>
            </w:r>
          </w:p>
        </w:tc>
      </w:tr>
      <w:tr w:rsidR="00D27BAF">
        <w:trPr>
          <w:trHeight w:val="3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bookmarkStart w:id="3" w:name="OLE_LINK1"/>
            <w:bookmarkStart w:id="4" w:name="OLE_LINK2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JJF 1070</w:t>
            </w:r>
            <w:bookmarkEnd w:id="3"/>
            <w:bookmarkEnd w:id="4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定量包装商品净含量计量检验规则</w:t>
            </w:r>
          </w:p>
        </w:tc>
      </w:tr>
      <w:tr w:rsidR="00D27BAF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6B6D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bookmarkStart w:id="5" w:name="OLE_LINK3"/>
            <w:bookmarkStart w:id="6" w:name="OLE_LINK4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国家市场监督管理总局（2023）第 70 号《定量包装商品计量监督管理办法》</w:t>
            </w:r>
            <w:bookmarkEnd w:id="5"/>
            <w:bookmarkEnd w:id="6"/>
          </w:p>
        </w:tc>
      </w:tr>
      <w:tr w:rsidR="00D27BAF">
        <w:trPr>
          <w:trHeight w:val="350"/>
          <w:jc w:val="center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AF" w:rsidRDefault="004E15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备注：本表为果冻粉料生产涉及的主要标准，仅供参考。企业亦可根据实际使用的原辅料情况进行调整。</w:t>
            </w:r>
          </w:p>
        </w:tc>
      </w:tr>
    </w:tbl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bookmarkStart w:id="7" w:name="_GoBack"/>
      <w:bookmarkEnd w:id="7"/>
    </w:p>
    <w:p w:rsidR="00D27BAF" w:rsidRDefault="00D27BAF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D27BAF" w:rsidRDefault="004E15E7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附件2：</w:t>
      </w:r>
    </w:p>
    <w:p w:rsidR="00D27BAF" w:rsidRDefault="004E15E7">
      <w:pPr>
        <w:spacing w:line="360" w:lineRule="auto"/>
        <w:jc w:val="center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eastAsia="仿宋" w:hint="eastAsia"/>
          <w:b/>
          <w:color w:val="000000"/>
          <w:kern w:val="0"/>
          <w:sz w:val="28"/>
          <w:szCs w:val="28"/>
        </w:rPr>
        <w:t>果冻粉料产品检测项目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77"/>
        <w:gridCol w:w="1934"/>
        <w:gridCol w:w="2237"/>
        <w:gridCol w:w="1733"/>
        <w:gridCol w:w="688"/>
        <w:gridCol w:w="567"/>
        <w:gridCol w:w="567"/>
      </w:tblGrid>
      <w:tr w:rsidR="00D27BAF">
        <w:trPr>
          <w:jc w:val="center"/>
        </w:trPr>
        <w:tc>
          <w:tcPr>
            <w:tcW w:w="710" w:type="dxa"/>
          </w:tcPr>
          <w:p w:rsidR="00D27BAF" w:rsidRDefault="004E15E7" w:rsidP="006B6D6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7" w:type="dxa"/>
          </w:tcPr>
          <w:p w:rsidR="00D27BAF" w:rsidRDefault="004E15E7" w:rsidP="006B6D6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检验项目</w:t>
            </w:r>
          </w:p>
        </w:tc>
        <w:tc>
          <w:tcPr>
            <w:tcW w:w="1934" w:type="dxa"/>
          </w:tcPr>
          <w:p w:rsidR="00D27BAF" w:rsidRDefault="004E15E7" w:rsidP="006B6D6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标准号</w:t>
            </w:r>
          </w:p>
        </w:tc>
        <w:tc>
          <w:tcPr>
            <w:tcW w:w="2237" w:type="dxa"/>
          </w:tcPr>
          <w:p w:rsidR="00D27BAF" w:rsidRDefault="004E15E7" w:rsidP="006B6D6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1733" w:type="dxa"/>
          </w:tcPr>
          <w:p w:rsidR="00D27BAF" w:rsidRDefault="004E15E7" w:rsidP="006B6D6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检验方法</w:t>
            </w:r>
          </w:p>
        </w:tc>
        <w:tc>
          <w:tcPr>
            <w:tcW w:w="688" w:type="dxa"/>
          </w:tcPr>
          <w:p w:rsidR="006B6D69" w:rsidRDefault="004E15E7" w:rsidP="006B6D6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出</w:t>
            </w:r>
          </w:p>
          <w:p w:rsidR="00D27BAF" w:rsidRDefault="004E15E7" w:rsidP="006B6D6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厂</w:t>
            </w:r>
          </w:p>
        </w:tc>
        <w:tc>
          <w:tcPr>
            <w:tcW w:w="567" w:type="dxa"/>
          </w:tcPr>
          <w:p w:rsidR="00D27BAF" w:rsidRDefault="004E15E7" w:rsidP="006B6D6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发证</w:t>
            </w:r>
          </w:p>
        </w:tc>
        <w:tc>
          <w:tcPr>
            <w:tcW w:w="567" w:type="dxa"/>
          </w:tcPr>
          <w:p w:rsidR="00D27BAF" w:rsidRDefault="004E15E7" w:rsidP="006B6D6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型检</w:t>
            </w:r>
          </w:p>
        </w:tc>
      </w:tr>
      <w:tr w:rsidR="00D27BAF">
        <w:trPr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7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色泽</w:t>
            </w:r>
          </w:p>
        </w:tc>
        <w:tc>
          <w:tcPr>
            <w:tcW w:w="1934" w:type="dxa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688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7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滋味、气味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688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77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组织状态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688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77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杂质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688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77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水分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5009.3</w:t>
            </w:r>
          </w:p>
        </w:tc>
        <w:tc>
          <w:tcPr>
            <w:tcW w:w="688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77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净含量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JJF 1070</w:t>
            </w:r>
          </w:p>
        </w:tc>
        <w:tc>
          <w:tcPr>
            <w:tcW w:w="688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铅（以Pb计）/（mg/kg）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5009.12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菌落总数</w:t>
            </w:r>
          </w:p>
          <w:p w:rsidR="00D27BAF" w:rsidRDefault="004E15E7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（内控）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4789.2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大肠菌群</w:t>
            </w:r>
          </w:p>
          <w:p w:rsidR="00D27BAF" w:rsidRDefault="004E15E7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（内控）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4789.3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霉菌和酵母</w:t>
            </w:r>
          </w:p>
          <w:p w:rsidR="00D27BAF" w:rsidRDefault="004E15E7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（内控）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4789.15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BAF" w:rsidRDefault="004E15E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trHeight w:val="240"/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77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食品添加剂（按照对应标准）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2760</w:t>
            </w:r>
          </w:p>
        </w:tc>
        <w:tc>
          <w:tcPr>
            <w:tcW w:w="688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</w:tr>
      <w:tr w:rsidR="00D27BAF">
        <w:trPr>
          <w:trHeight w:val="240"/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77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标签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7718</w:t>
            </w:r>
          </w:p>
        </w:tc>
        <w:tc>
          <w:tcPr>
            <w:tcW w:w="688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*</w:t>
            </w:r>
          </w:p>
        </w:tc>
      </w:tr>
      <w:tr w:rsidR="00D27BAF">
        <w:trPr>
          <w:trHeight w:val="240"/>
          <w:jc w:val="center"/>
        </w:trPr>
        <w:tc>
          <w:tcPr>
            <w:tcW w:w="710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77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营养标识</w:t>
            </w:r>
          </w:p>
        </w:tc>
        <w:tc>
          <w:tcPr>
            <w:tcW w:w="1934" w:type="dxa"/>
            <w:shd w:val="clear" w:color="auto" w:fill="auto"/>
          </w:tcPr>
          <w:p w:rsidR="00D27BAF" w:rsidRDefault="004E15E7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vAlign w:val="center"/>
          </w:tcPr>
          <w:p w:rsidR="00D27BAF" w:rsidRDefault="004E15E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GB 28050</w:t>
            </w:r>
          </w:p>
        </w:tc>
        <w:tc>
          <w:tcPr>
            <w:tcW w:w="688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D27BAF" w:rsidRDefault="004E15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*</w:t>
            </w:r>
          </w:p>
        </w:tc>
      </w:tr>
    </w:tbl>
    <w:p w:rsidR="00D27BAF" w:rsidRDefault="00D27BAF">
      <w:pPr>
        <w:spacing w:line="400" w:lineRule="exact"/>
        <w:rPr>
          <w:rFonts w:eastAsia="仿宋"/>
          <w:color w:val="000000"/>
          <w:kern w:val="0"/>
          <w:sz w:val="28"/>
          <w:szCs w:val="28"/>
        </w:rPr>
      </w:pPr>
    </w:p>
    <w:sectPr w:rsidR="00D27BAF" w:rsidSect="00D27BA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87" w:rsidRDefault="002C4B87" w:rsidP="00D27BAF">
      <w:r>
        <w:separator/>
      </w:r>
    </w:p>
  </w:endnote>
  <w:endnote w:type="continuationSeparator" w:id="0">
    <w:p w:rsidR="002C4B87" w:rsidRDefault="002C4B87" w:rsidP="00D2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BCB0FEF-36BD-4058-84DE-23F0042C79E5}"/>
    <w:embedBold r:id="rId2" w:subsetted="1" w:fontKey="{775A2D21-31AC-4372-A1F2-E7933373009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1D30BC0-9DF0-4203-853A-169B1323C28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8DEDA11-0395-43C0-BB78-471770991852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5" w:subsetted="1" w:fontKey="{F5E2F00A-0DAF-4A27-A792-F64CF240B90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344FABC-A979-4B85-800E-8AA33C7EA9D8}"/>
    <w:embedBold r:id="rId7" w:subsetted="1" w:fontKey="{57B6D99F-7A9D-4C89-B39D-8E7B92CCDBD8}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6642"/>
    </w:sdtPr>
    <w:sdtContent>
      <w:sdt>
        <w:sdtPr>
          <w:id w:val="171357217"/>
        </w:sdtPr>
        <w:sdtContent>
          <w:p w:rsidR="004B74C1" w:rsidRDefault="004B74C1">
            <w:pPr>
              <w:pStyle w:val="a5"/>
              <w:jc w:val="center"/>
            </w:pPr>
            <w:r>
              <w:rPr>
                <w:rFonts w:ascii="Times New Roman" w:eastAsia="仿宋" w:hAnsi="仿宋" w:cs="Times New Roman"/>
                <w:sz w:val="21"/>
                <w:szCs w:val="21"/>
              </w:rPr>
              <w:t>第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val="zh-CN"/>
              </w:rPr>
              <w:t xml:space="preserve"> </w:t>
            </w:r>
            <w:r w:rsidR="00C9793A"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instrText>PAGE</w:instrText>
            </w:r>
            <w:r w:rsidR="00C9793A"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separate"/>
            </w:r>
            <w:r w:rsidR="002C4B87">
              <w:rPr>
                <w:rFonts w:ascii="Times New Roman" w:eastAsia="仿宋" w:hAnsi="Times New Roman" w:cs="Times New Roman"/>
                <w:noProof/>
                <w:sz w:val="21"/>
                <w:szCs w:val="21"/>
              </w:rPr>
              <w:t>1</w:t>
            </w:r>
            <w:r w:rsidR="00C9793A"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eastAsia="仿宋" w:hAnsi="仿宋" w:cs="Times New Roman"/>
                <w:sz w:val="21"/>
                <w:szCs w:val="21"/>
                <w:lang w:val="zh-CN"/>
              </w:rPr>
              <w:t>页共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val="zh-CN"/>
              </w:rPr>
              <w:t xml:space="preserve"> </w:t>
            </w:r>
            <w:r w:rsidR="00C9793A"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instrText>NUMPAGES</w:instrText>
            </w:r>
            <w:r w:rsidR="00C9793A"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separate"/>
            </w:r>
            <w:r w:rsidR="002C4B87">
              <w:rPr>
                <w:rFonts w:ascii="Times New Roman" w:eastAsia="仿宋" w:hAnsi="Times New Roman" w:cs="Times New Roman"/>
                <w:noProof/>
                <w:sz w:val="21"/>
                <w:szCs w:val="21"/>
              </w:rPr>
              <w:t>1</w:t>
            </w:r>
            <w:r w:rsidR="00C9793A"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eastAsia="仿宋" w:hAnsi="仿宋" w:cs="Times New Roman"/>
                <w:sz w:val="21"/>
                <w:szCs w:val="21"/>
              </w:rPr>
              <w:t>页</w:t>
            </w:r>
          </w:p>
        </w:sdtContent>
      </w:sdt>
    </w:sdtContent>
  </w:sdt>
  <w:p w:rsidR="004B74C1" w:rsidRDefault="004B74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87" w:rsidRDefault="002C4B87" w:rsidP="00D27BAF">
      <w:r>
        <w:separator/>
      </w:r>
    </w:p>
  </w:footnote>
  <w:footnote w:type="continuationSeparator" w:id="0">
    <w:p w:rsidR="002C4B87" w:rsidRDefault="002C4B87" w:rsidP="00D27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E0814"/>
    <w:rsid w:val="000129E3"/>
    <w:rsid w:val="00020651"/>
    <w:rsid w:val="00037B52"/>
    <w:rsid w:val="00044694"/>
    <w:rsid w:val="00047BA8"/>
    <w:rsid w:val="000712F9"/>
    <w:rsid w:val="000743C0"/>
    <w:rsid w:val="00074EF6"/>
    <w:rsid w:val="0008498E"/>
    <w:rsid w:val="000B68CB"/>
    <w:rsid w:val="000E61EC"/>
    <w:rsid w:val="000E7344"/>
    <w:rsid w:val="000F629D"/>
    <w:rsid w:val="00110BBC"/>
    <w:rsid w:val="00110D44"/>
    <w:rsid w:val="00127B36"/>
    <w:rsid w:val="00176692"/>
    <w:rsid w:val="0018679A"/>
    <w:rsid w:val="00186DDF"/>
    <w:rsid w:val="001933AE"/>
    <w:rsid w:val="001A078E"/>
    <w:rsid w:val="001A53F6"/>
    <w:rsid w:val="001B3CA2"/>
    <w:rsid w:val="001C1248"/>
    <w:rsid w:val="001F5E63"/>
    <w:rsid w:val="002107C9"/>
    <w:rsid w:val="0023177C"/>
    <w:rsid w:val="002465B3"/>
    <w:rsid w:val="002C080D"/>
    <w:rsid w:val="002C4B87"/>
    <w:rsid w:val="002D5EBD"/>
    <w:rsid w:val="002E059B"/>
    <w:rsid w:val="002E0A19"/>
    <w:rsid w:val="002E4F0B"/>
    <w:rsid w:val="002F1B14"/>
    <w:rsid w:val="002F397F"/>
    <w:rsid w:val="002F583B"/>
    <w:rsid w:val="00307CD5"/>
    <w:rsid w:val="00333251"/>
    <w:rsid w:val="00345543"/>
    <w:rsid w:val="00357BCC"/>
    <w:rsid w:val="003A00CA"/>
    <w:rsid w:val="003A492A"/>
    <w:rsid w:val="003A77CA"/>
    <w:rsid w:val="003C14B6"/>
    <w:rsid w:val="003D0404"/>
    <w:rsid w:val="003D6ACC"/>
    <w:rsid w:val="003F32EB"/>
    <w:rsid w:val="004017D7"/>
    <w:rsid w:val="004041A5"/>
    <w:rsid w:val="00404B6D"/>
    <w:rsid w:val="00463B54"/>
    <w:rsid w:val="004765B1"/>
    <w:rsid w:val="00484E7E"/>
    <w:rsid w:val="004A4BE1"/>
    <w:rsid w:val="004B74C1"/>
    <w:rsid w:val="004E15E7"/>
    <w:rsid w:val="004E64AF"/>
    <w:rsid w:val="004E7AC0"/>
    <w:rsid w:val="004F5008"/>
    <w:rsid w:val="00517288"/>
    <w:rsid w:val="00533B96"/>
    <w:rsid w:val="00553434"/>
    <w:rsid w:val="00566E0A"/>
    <w:rsid w:val="00583D83"/>
    <w:rsid w:val="005A1859"/>
    <w:rsid w:val="005A35D9"/>
    <w:rsid w:val="005C0244"/>
    <w:rsid w:val="005C7765"/>
    <w:rsid w:val="005D1553"/>
    <w:rsid w:val="005E1651"/>
    <w:rsid w:val="005F6234"/>
    <w:rsid w:val="00614F3C"/>
    <w:rsid w:val="006238DE"/>
    <w:rsid w:val="006259DB"/>
    <w:rsid w:val="00644C79"/>
    <w:rsid w:val="006607B9"/>
    <w:rsid w:val="00660CF9"/>
    <w:rsid w:val="00667932"/>
    <w:rsid w:val="006B6D69"/>
    <w:rsid w:val="006E1560"/>
    <w:rsid w:val="006F02F0"/>
    <w:rsid w:val="006F498A"/>
    <w:rsid w:val="00706C34"/>
    <w:rsid w:val="0073202E"/>
    <w:rsid w:val="00734E70"/>
    <w:rsid w:val="00743F8F"/>
    <w:rsid w:val="00743FC6"/>
    <w:rsid w:val="007700B4"/>
    <w:rsid w:val="007937E0"/>
    <w:rsid w:val="00797C01"/>
    <w:rsid w:val="007B2662"/>
    <w:rsid w:val="007B7CC4"/>
    <w:rsid w:val="007D3766"/>
    <w:rsid w:val="007F6807"/>
    <w:rsid w:val="008004C6"/>
    <w:rsid w:val="00800926"/>
    <w:rsid w:val="00836D7A"/>
    <w:rsid w:val="00867ACE"/>
    <w:rsid w:val="0089279C"/>
    <w:rsid w:val="008C0C15"/>
    <w:rsid w:val="008D71E6"/>
    <w:rsid w:val="008F3A02"/>
    <w:rsid w:val="00912E24"/>
    <w:rsid w:val="00913D24"/>
    <w:rsid w:val="009168EA"/>
    <w:rsid w:val="00972E48"/>
    <w:rsid w:val="0099350A"/>
    <w:rsid w:val="00994D51"/>
    <w:rsid w:val="009B5521"/>
    <w:rsid w:val="009C41E7"/>
    <w:rsid w:val="009C42CB"/>
    <w:rsid w:val="009D248D"/>
    <w:rsid w:val="009D6DF7"/>
    <w:rsid w:val="009E0814"/>
    <w:rsid w:val="009F1451"/>
    <w:rsid w:val="009F3575"/>
    <w:rsid w:val="009F6BDF"/>
    <w:rsid w:val="00A15C7A"/>
    <w:rsid w:val="00A41598"/>
    <w:rsid w:val="00A613F9"/>
    <w:rsid w:val="00A902F8"/>
    <w:rsid w:val="00A93F26"/>
    <w:rsid w:val="00AC4700"/>
    <w:rsid w:val="00AD5FDD"/>
    <w:rsid w:val="00AE75FA"/>
    <w:rsid w:val="00AF0F6D"/>
    <w:rsid w:val="00B62579"/>
    <w:rsid w:val="00B81501"/>
    <w:rsid w:val="00B82AC6"/>
    <w:rsid w:val="00B82BC0"/>
    <w:rsid w:val="00BF0CF3"/>
    <w:rsid w:val="00C10185"/>
    <w:rsid w:val="00C60DDF"/>
    <w:rsid w:val="00C61420"/>
    <w:rsid w:val="00C84086"/>
    <w:rsid w:val="00C95810"/>
    <w:rsid w:val="00C9793A"/>
    <w:rsid w:val="00CE1262"/>
    <w:rsid w:val="00CF79AA"/>
    <w:rsid w:val="00D146C7"/>
    <w:rsid w:val="00D27BAF"/>
    <w:rsid w:val="00D474E8"/>
    <w:rsid w:val="00D579B2"/>
    <w:rsid w:val="00D77ECA"/>
    <w:rsid w:val="00D92456"/>
    <w:rsid w:val="00DC7466"/>
    <w:rsid w:val="00DE0B92"/>
    <w:rsid w:val="00DE6B19"/>
    <w:rsid w:val="00DF3600"/>
    <w:rsid w:val="00E31849"/>
    <w:rsid w:val="00E319AE"/>
    <w:rsid w:val="00E34090"/>
    <w:rsid w:val="00E40E81"/>
    <w:rsid w:val="00E55D76"/>
    <w:rsid w:val="00E579BD"/>
    <w:rsid w:val="00E85628"/>
    <w:rsid w:val="00E971D0"/>
    <w:rsid w:val="00EF5248"/>
    <w:rsid w:val="00F25937"/>
    <w:rsid w:val="00F62708"/>
    <w:rsid w:val="00F63527"/>
    <w:rsid w:val="00F7605F"/>
    <w:rsid w:val="00F76981"/>
    <w:rsid w:val="00FD3061"/>
    <w:rsid w:val="00FF0904"/>
    <w:rsid w:val="00FF5A0C"/>
    <w:rsid w:val="01121891"/>
    <w:rsid w:val="01916C5A"/>
    <w:rsid w:val="019B53E2"/>
    <w:rsid w:val="026045BE"/>
    <w:rsid w:val="032D62CD"/>
    <w:rsid w:val="058F34B0"/>
    <w:rsid w:val="05F757FA"/>
    <w:rsid w:val="07155C37"/>
    <w:rsid w:val="07EF0236"/>
    <w:rsid w:val="0935323D"/>
    <w:rsid w:val="0A732B21"/>
    <w:rsid w:val="0A943317"/>
    <w:rsid w:val="0B095AB3"/>
    <w:rsid w:val="0B352404"/>
    <w:rsid w:val="0BFC1173"/>
    <w:rsid w:val="0CA75583"/>
    <w:rsid w:val="0D3B3F1D"/>
    <w:rsid w:val="0DAE47E8"/>
    <w:rsid w:val="0DED5218"/>
    <w:rsid w:val="0DF465A6"/>
    <w:rsid w:val="0E2230B3"/>
    <w:rsid w:val="0EAE0E4B"/>
    <w:rsid w:val="0FE4089C"/>
    <w:rsid w:val="10A86610"/>
    <w:rsid w:val="10CF32FA"/>
    <w:rsid w:val="11AB78C4"/>
    <w:rsid w:val="13286CF2"/>
    <w:rsid w:val="14432035"/>
    <w:rsid w:val="14B7032D"/>
    <w:rsid w:val="158741A4"/>
    <w:rsid w:val="15FE544B"/>
    <w:rsid w:val="16616154"/>
    <w:rsid w:val="16773558"/>
    <w:rsid w:val="16E80C72"/>
    <w:rsid w:val="1752433D"/>
    <w:rsid w:val="1A6E76E0"/>
    <w:rsid w:val="1C5D7A0C"/>
    <w:rsid w:val="1CC7757C"/>
    <w:rsid w:val="1CF540E9"/>
    <w:rsid w:val="1E472722"/>
    <w:rsid w:val="1F0D396C"/>
    <w:rsid w:val="1FBB33C8"/>
    <w:rsid w:val="201E3957"/>
    <w:rsid w:val="21063FC7"/>
    <w:rsid w:val="224C767A"/>
    <w:rsid w:val="22600256"/>
    <w:rsid w:val="22A243CB"/>
    <w:rsid w:val="23072480"/>
    <w:rsid w:val="233A7FAB"/>
    <w:rsid w:val="235F050E"/>
    <w:rsid w:val="2423778D"/>
    <w:rsid w:val="25201F1F"/>
    <w:rsid w:val="256A6BDA"/>
    <w:rsid w:val="275227F9"/>
    <w:rsid w:val="27613B9F"/>
    <w:rsid w:val="27BD3A55"/>
    <w:rsid w:val="27E76E1B"/>
    <w:rsid w:val="28862099"/>
    <w:rsid w:val="289C7B0E"/>
    <w:rsid w:val="291D29FD"/>
    <w:rsid w:val="2AE337D3"/>
    <w:rsid w:val="2B8054C5"/>
    <w:rsid w:val="2BE55328"/>
    <w:rsid w:val="2CDE24A4"/>
    <w:rsid w:val="2DB25300"/>
    <w:rsid w:val="2E220AB6"/>
    <w:rsid w:val="2FAC4ADB"/>
    <w:rsid w:val="31FC33CC"/>
    <w:rsid w:val="347B4A7C"/>
    <w:rsid w:val="34E15227"/>
    <w:rsid w:val="34FA3BF3"/>
    <w:rsid w:val="352B64A2"/>
    <w:rsid w:val="357C78B3"/>
    <w:rsid w:val="35BC359E"/>
    <w:rsid w:val="35E825E5"/>
    <w:rsid w:val="35ED49C9"/>
    <w:rsid w:val="37F94635"/>
    <w:rsid w:val="3801173C"/>
    <w:rsid w:val="38FD1F03"/>
    <w:rsid w:val="39657ED2"/>
    <w:rsid w:val="39BA4298"/>
    <w:rsid w:val="3B710987"/>
    <w:rsid w:val="3D711112"/>
    <w:rsid w:val="3D8D78D5"/>
    <w:rsid w:val="406E7B8B"/>
    <w:rsid w:val="41F77177"/>
    <w:rsid w:val="42450997"/>
    <w:rsid w:val="45412BC0"/>
    <w:rsid w:val="462A23FC"/>
    <w:rsid w:val="47C37AE0"/>
    <w:rsid w:val="49830203"/>
    <w:rsid w:val="4AB865B5"/>
    <w:rsid w:val="4C76404F"/>
    <w:rsid w:val="4C9E751A"/>
    <w:rsid w:val="4D8F5E58"/>
    <w:rsid w:val="4F681132"/>
    <w:rsid w:val="4FCB51F9"/>
    <w:rsid w:val="502D0EC8"/>
    <w:rsid w:val="51826FF2"/>
    <w:rsid w:val="54941D53"/>
    <w:rsid w:val="54CE7EF9"/>
    <w:rsid w:val="54EC75A4"/>
    <w:rsid w:val="554F368F"/>
    <w:rsid w:val="555D3FFE"/>
    <w:rsid w:val="55FA527D"/>
    <w:rsid w:val="5604091D"/>
    <w:rsid w:val="561F7505"/>
    <w:rsid w:val="57731402"/>
    <w:rsid w:val="5846257C"/>
    <w:rsid w:val="594B20E8"/>
    <w:rsid w:val="59F6057D"/>
    <w:rsid w:val="5A736072"/>
    <w:rsid w:val="5ACE14FA"/>
    <w:rsid w:val="5BAA7871"/>
    <w:rsid w:val="5D2B2C34"/>
    <w:rsid w:val="5D8F31C2"/>
    <w:rsid w:val="5E892293"/>
    <w:rsid w:val="5ECC5D50"/>
    <w:rsid w:val="5EDF5401"/>
    <w:rsid w:val="60B30F76"/>
    <w:rsid w:val="60BB607C"/>
    <w:rsid w:val="617D06AE"/>
    <w:rsid w:val="61C7351F"/>
    <w:rsid w:val="6239194F"/>
    <w:rsid w:val="63043D0B"/>
    <w:rsid w:val="635E006A"/>
    <w:rsid w:val="63EB6C79"/>
    <w:rsid w:val="63F41FD1"/>
    <w:rsid w:val="657B5DDA"/>
    <w:rsid w:val="65BA6903"/>
    <w:rsid w:val="675863D3"/>
    <w:rsid w:val="679B2D4E"/>
    <w:rsid w:val="69926FF3"/>
    <w:rsid w:val="6B722451"/>
    <w:rsid w:val="6E5F273D"/>
    <w:rsid w:val="6EBC193D"/>
    <w:rsid w:val="6EE25BC6"/>
    <w:rsid w:val="6F0F5F11"/>
    <w:rsid w:val="71241A1C"/>
    <w:rsid w:val="73F43927"/>
    <w:rsid w:val="74E87578"/>
    <w:rsid w:val="75115D8C"/>
    <w:rsid w:val="75232716"/>
    <w:rsid w:val="76F53C3E"/>
    <w:rsid w:val="783052B5"/>
    <w:rsid w:val="78D14237"/>
    <w:rsid w:val="79F160BD"/>
    <w:rsid w:val="7A545120"/>
    <w:rsid w:val="7C8B294F"/>
    <w:rsid w:val="7CCA791B"/>
    <w:rsid w:val="7D1632B9"/>
    <w:rsid w:val="7E582D05"/>
    <w:rsid w:val="7E6B2A38"/>
    <w:rsid w:val="7E9C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27BAF"/>
    <w:pPr>
      <w:spacing w:line="480" w:lineRule="exact"/>
    </w:pPr>
    <w:rPr>
      <w:rFonts w:asciiTheme="minorHAnsi" w:eastAsia="仿宋_GB2312" w:hAnsiTheme="minorHAnsi" w:cstheme="minorBidi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27B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27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27BA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sid w:val="00D27BAF"/>
    <w:rPr>
      <w:color w:val="2C4C78"/>
      <w:u w:val="none"/>
    </w:rPr>
  </w:style>
  <w:style w:type="character" w:customStyle="1" w:styleId="Char2">
    <w:name w:val="页眉 Char"/>
    <w:basedOn w:val="a0"/>
    <w:link w:val="a6"/>
    <w:uiPriority w:val="99"/>
    <w:qFormat/>
    <w:rsid w:val="00D27BA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27BAF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D27BAF"/>
    <w:rPr>
      <w:rFonts w:eastAsia="仿宋_GB2312"/>
      <w:sz w:val="32"/>
      <w:szCs w:val="24"/>
    </w:rPr>
  </w:style>
  <w:style w:type="paragraph" w:styleId="a8">
    <w:name w:val="List Paragraph"/>
    <w:basedOn w:val="a"/>
    <w:uiPriority w:val="34"/>
    <w:qFormat/>
    <w:rsid w:val="00D27BA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27B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es.com/detail/12717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亚勋 王</dc:creator>
  <cp:lastModifiedBy>Administrator</cp:lastModifiedBy>
  <cp:revision>23</cp:revision>
  <cp:lastPrinted>2025-03-06T09:16:00Z</cp:lastPrinted>
  <dcterms:created xsi:type="dcterms:W3CDTF">2024-08-15T02:09:00Z</dcterms:created>
  <dcterms:modified xsi:type="dcterms:W3CDTF">2025-03-06T09:18:00Z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eyJoZGlkIjoiMTI0OWU4NDQ4OWQzNDc4ZjI2MGYyMzE5ZDA3ZGRiNzIiLCJ1c2VySWQiOiIyOTQ2OTY2MzIifQ==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54F4BC81604A48A3987A24AF18111C35_12</vt:lpwstr>
  </property>
</Properties>
</file>